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2A2E" w14:textId="77777777" w:rsidR="002519BE" w:rsidRDefault="002519BE" w:rsidP="002519BE">
      <w:pPr>
        <w:jc w:val="center"/>
        <w:rPr>
          <w:sz w:val="40"/>
          <w:szCs w:val="40"/>
        </w:rPr>
      </w:pPr>
    </w:p>
    <w:p w14:paraId="002A0FFB" w14:textId="77777777" w:rsidR="002519BE" w:rsidRDefault="002519BE" w:rsidP="002519BE">
      <w:pPr>
        <w:jc w:val="center"/>
        <w:rPr>
          <w:sz w:val="40"/>
          <w:szCs w:val="40"/>
        </w:rPr>
      </w:pPr>
    </w:p>
    <w:p w14:paraId="534EFD1A" w14:textId="77777777" w:rsidR="002519BE" w:rsidRDefault="002519BE" w:rsidP="002519BE">
      <w:pPr>
        <w:jc w:val="center"/>
        <w:rPr>
          <w:sz w:val="40"/>
          <w:szCs w:val="40"/>
        </w:rPr>
      </w:pPr>
    </w:p>
    <w:p w14:paraId="6A9C7B72" w14:textId="77777777" w:rsidR="002519BE" w:rsidRDefault="002519BE" w:rsidP="002519BE">
      <w:pPr>
        <w:jc w:val="center"/>
        <w:rPr>
          <w:sz w:val="40"/>
          <w:szCs w:val="40"/>
        </w:rPr>
      </w:pPr>
    </w:p>
    <w:p w14:paraId="6B604424" w14:textId="77777777" w:rsidR="002519BE" w:rsidRDefault="002519BE" w:rsidP="002519BE">
      <w:pPr>
        <w:jc w:val="center"/>
        <w:rPr>
          <w:sz w:val="40"/>
          <w:szCs w:val="40"/>
        </w:rPr>
      </w:pPr>
    </w:p>
    <w:p w14:paraId="43C527FF" w14:textId="77777777" w:rsidR="002519BE" w:rsidRDefault="002519BE" w:rsidP="002519BE">
      <w:pPr>
        <w:jc w:val="center"/>
        <w:rPr>
          <w:sz w:val="40"/>
          <w:szCs w:val="40"/>
        </w:rPr>
      </w:pPr>
    </w:p>
    <w:p w14:paraId="6D3DED84" w14:textId="77777777" w:rsidR="002519BE" w:rsidRPr="00486648" w:rsidRDefault="002519BE" w:rsidP="002519BE">
      <w:pPr>
        <w:jc w:val="center"/>
        <w:rPr>
          <w:b/>
          <w:bCs/>
          <w:sz w:val="40"/>
          <w:szCs w:val="40"/>
        </w:rPr>
      </w:pPr>
    </w:p>
    <w:p w14:paraId="22D39DD5" w14:textId="77777777" w:rsidR="002519BE" w:rsidRDefault="002519BE" w:rsidP="002519BE">
      <w:pPr>
        <w:jc w:val="center"/>
        <w:rPr>
          <w:sz w:val="40"/>
          <w:szCs w:val="40"/>
        </w:rPr>
      </w:pPr>
    </w:p>
    <w:p w14:paraId="6926BEE7" w14:textId="3DEE8B7D" w:rsidR="003D0033" w:rsidRPr="002519BE" w:rsidRDefault="002519BE" w:rsidP="002519BE">
      <w:pPr>
        <w:jc w:val="center"/>
        <w:rPr>
          <w:sz w:val="40"/>
          <w:szCs w:val="40"/>
        </w:rPr>
      </w:pPr>
      <w:r w:rsidRPr="002519BE">
        <w:rPr>
          <w:sz w:val="40"/>
          <w:szCs w:val="40"/>
        </w:rPr>
        <w:t>Fondering</w:t>
      </w:r>
      <w:r w:rsidR="00FE75FA">
        <w:rPr>
          <w:sz w:val="40"/>
          <w:szCs w:val="40"/>
        </w:rPr>
        <w:t>s</w:t>
      </w:r>
      <w:r w:rsidRPr="002519BE">
        <w:rPr>
          <w:sz w:val="40"/>
          <w:szCs w:val="40"/>
        </w:rPr>
        <w:t>plan</w:t>
      </w:r>
    </w:p>
    <w:p w14:paraId="7AE4EF7D" w14:textId="2B5ACB39" w:rsidR="002519BE" w:rsidRDefault="002519BE" w:rsidP="002519BE">
      <w:pPr>
        <w:jc w:val="center"/>
        <w:rPr>
          <w:sz w:val="40"/>
          <w:szCs w:val="40"/>
        </w:rPr>
      </w:pPr>
      <w:r w:rsidRPr="002519BE">
        <w:rPr>
          <w:sz w:val="40"/>
          <w:szCs w:val="40"/>
        </w:rPr>
        <w:t>Samfällighetsföreningen Tuppkammen /</w:t>
      </w:r>
      <w:proofErr w:type="spellStart"/>
      <w:r w:rsidRPr="002519BE">
        <w:rPr>
          <w:sz w:val="40"/>
          <w:szCs w:val="40"/>
        </w:rPr>
        <w:t>Tärnskriet</w:t>
      </w:r>
      <w:proofErr w:type="spellEnd"/>
    </w:p>
    <w:p w14:paraId="55331130" w14:textId="23274338" w:rsidR="002519BE" w:rsidRDefault="002519BE" w:rsidP="002519BE">
      <w:pPr>
        <w:jc w:val="center"/>
        <w:rPr>
          <w:sz w:val="40"/>
          <w:szCs w:val="40"/>
        </w:rPr>
      </w:pPr>
    </w:p>
    <w:p w14:paraId="344A7A96" w14:textId="284D8BA9" w:rsidR="002519BE" w:rsidRDefault="002519BE" w:rsidP="002519BE">
      <w:pPr>
        <w:jc w:val="center"/>
        <w:rPr>
          <w:sz w:val="40"/>
          <w:szCs w:val="40"/>
        </w:rPr>
      </w:pPr>
    </w:p>
    <w:p w14:paraId="41F38A97" w14:textId="3718A589" w:rsidR="002519BE" w:rsidRDefault="002519BE" w:rsidP="002519BE">
      <w:pPr>
        <w:jc w:val="center"/>
        <w:rPr>
          <w:sz w:val="40"/>
          <w:szCs w:val="40"/>
        </w:rPr>
      </w:pPr>
    </w:p>
    <w:p w14:paraId="47935B13" w14:textId="7B19CDBA" w:rsidR="002519BE" w:rsidRDefault="002519BE" w:rsidP="002519BE">
      <w:pPr>
        <w:jc w:val="center"/>
        <w:rPr>
          <w:sz w:val="40"/>
          <w:szCs w:val="40"/>
        </w:rPr>
      </w:pPr>
    </w:p>
    <w:p w14:paraId="27F65301" w14:textId="2FDB1FB6" w:rsidR="002519BE" w:rsidRDefault="002519BE" w:rsidP="002519BE">
      <w:pPr>
        <w:jc w:val="center"/>
        <w:rPr>
          <w:sz w:val="40"/>
          <w:szCs w:val="40"/>
        </w:rPr>
      </w:pPr>
    </w:p>
    <w:p w14:paraId="045C5480" w14:textId="65225BA2" w:rsidR="002519BE" w:rsidRDefault="002519BE" w:rsidP="002519BE">
      <w:pPr>
        <w:jc w:val="center"/>
        <w:rPr>
          <w:sz w:val="40"/>
          <w:szCs w:val="40"/>
        </w:rPr>
      </w:pPr>
    </w:p>
    <w:p w14:paraId="72224B56" w14:textId="28B11B41" w:rsidR="002519BE" w:rsidRDefault="002519BE" w:rsidP="002519BE">
      <w:pPr>
        <w:jc w:val="center"/>
        <w:rPr>
          <w:sz w:val="40"/>
          <w:szCs w:val="40"/>
        </w:rPr>
      </w:pPr>
    </w:p>
    <w:p w14:paraId="2D6F4D94" w14:textId="21FFECC0" w:rsidR="002519BE" w:rsidRDefault="002519BE" w:rsidP="002519BE">
      <w:pPr>
        <w:jc w:val="center"/>
        <w:rPr>
          <w:sz w:val="40"/>
          <w:szCs w:val="40"/>
        </w:rPr>
      </w:pPr>
    </w:p>
    <w:p w14:paraId="722A4E40" w14:textId="5C08D88C" w:rsidR="002519BE" w:rsidRDefault="002519BE" w:rsidP="002519BE">
      <w:pPr>
        <w:jc w:val="center"/>
        <w:rPr>
          <w:sz w:val="40"/>
          <w:szCs w:val="40"/>
        </w:rPr>
      </w:pPr>
    </w:p>
    <w:p w14:paraId="2A4D164C" w14:textId="45405D0E" w:rsidR="002519BE" w:rsidRDefault="002519BE" w:rsidP="002519BE">
      <w:r>
        <w:t>Upprättad av: Daniel Leonardsson, Åke Huitfeldt, Jan Rönnlund, Inger Westman</w:t>
      </w:r>
    </w:p>
    <w:p w14:paraId="513EC810" w14:textId="255C720C" w:rsidR="002519BE" w:rsidRDefault="002519BE" w:rsidP="002519BE">
      <w:r>
        <w:t>Datum: 2020-02-21</w:t>
      </w:r>
    </w:p>
    <w:p w14:paraId="59672C2E" w14:textId="0E8499D4" w:rsidR="002519BE" w:rsidRDefault="002519BE" w:rsidP="00FA3A27">
      <w:pPr>
        <w:pStyle w:val="Rubrik1"/>
      </w:pPr>
      <w:r>
        <w:lastRenderedPageBreak/>
        <w:t>Sammanfattning</w:t>
      </w:r>
    </w:p>
    <w:p w14:paraId="110264C5" w14:textId="76F9EAD6" w:rsidR="002519BE" w:rsidRDefault="002519BE" w:rsidP="002519BE">
      <w:r>
        <w:t>Denna fondering</w:t>
      </w:r>
      <w:r w:rsidR="00F748A3">
        <w:t xml:space="preserve"> syftar till att fastställa de avsättningar som behöver göras enligt Lag </w:t>
      </w:r>
      <w:r w:rsidR="00F748A3" w:rsidRPr="002519BE">
        <w:t>1973:1150</w:t>
      </w:r>
      <w:r w:rsidR="00F748A3">
        <w:t xml:space="preserve"> och som framgår i Samfällighetsföreningen Tuppkammen/</w:t>
      </w:r>
      <w:proofErr w:type="spellStart"/>
      <w:r w:rsidR="00F748A3">
        <w:t>Tärnskriet</w:t>
      </w:r>
      <w:proofErr w:type="spellEnd"/>
      <w:r w:rsidR="00F748A3">
        <w:t>, enligt föreningens stadgar §12.</w:t>
      </w:r>
    </w:p>
    <w:p w14:paraId="6CB319F0" w14:textId="55D1973D" w:rsidR="00F748A3" w:rsidRDefault="0091708E" w:rsidP="002519BE">
      <w:r>
        <w:t>Avsättningens storlek till fonderingsplanen bör uppgå till ca 9500 kr/fastighet/år, vilket motsvarar en total avsättning inom samfälligheten på ca 456</w:t>
      </w:r>
      <w:r w:rsidR="00AE493D">
        <w:t> </w:t>
      </w:r>
      <w:r>
        <w:t>000</w:t>
      </w:r>
      <w:r w:rsidR="00AE493D">
        <w:t xml:space="preserve"> per år</w:t>
      </w:r>
      <w:r w:rsidR="00FE75FA">
        <w:t xml:space="preserve"> (2021 års värde)</w:t>
      </w:r>
      <w:r>
        <w:t>, vilk</w:t>
      </w:r>
      <w:r w:rsidR="00AE493D">
        <w:t>et</w:t>
      </w:r>
      <w:r>
        <w:t xml:space="preserve"> bör räknas upp varje år för att täcka inflationen</w:t>
      </w:r>
      <w:r w:rsidR="006F7510">
        <w:t xml:space="preserve">. </w:t>
      </w:r>
      <w:r w:rsidR="00E3416F">
        <w:t>Då samfälligheten ligger långt ifrån denna gräns förutsätts en stegvis uppräkning mot detta belopp.</w:t>
      </w:r>
    </w:p>
    <w:p w14:paraId="31FFD89D" w14:textId="3F25BBA7" w:rsidR="00AE493D" w:rsidRDefault="00AE493D" w:rsidP="002519BE"/>
    <w:p w14:paraId="259CCD7C" w14:textId="0B83E365" w:rsidR="00AE493D" w:rsidRDefault="00AE493D" w:rsidP="002519BE"/>
    <w:p w14:paraId="5DB748E5" w14:textId="5B7463AA" w:rsidR="00AE493D" w:rsidRDefault="00AE493D" w:rsidP="002519BE"/>
    <w:p w14:paraId="1B204EDF" w14:textId="417E79E2" w:rsidR="00AE493D" w:rsidRDefault="00AE493D" w:rsidP="002519BE"/>
    <w:p w14:paraId="2C16A7C6" w14:textId="7C2F1425" w:rsidR="00AE493D" w:rsidRDefault="00AE493D" w:rsidP="002519BE"/>
    <w:p w14:paraId="3524B8A4" w14:textId="5CCC4651" w:rsidR="00AE493D" w:rsidRDefault="00AE493D" w:rsidP="002519BE"/>
    <w:p w14:paraId="23B269FE" w14:textId="0E990394" w:rsidR="00AE493D" w:rsidRDefault="00AE493D" w:rsidP="002519BE"/>
    <w:p w14:paraId="1F2AF120" w14:textId="4D71207B" w:rsidR="00AE493D" w:rsidRDefault="00AE493D" w:rsidP="002519BE"/>
    <w:p w14:paraId="07F7EFF2" w14:textId="4DBCC18C" w:rsidR="00AE493D" w:rsidRDefault="00AE493D" w:rsidP="002519BE"/>
    <w:p w14:paraId="5D59FF42" w14:textId="6BEFAE10" w:rsidR="00AE493D" w:rsidRDefault="00AE493D" w:rsidP="00AE493D">
      <w:pPr>
        <w:pStyle w:val="Rubrik1"/>
      </w:pPr>
      <w:r>
        <w:t>Revision och upprättande av dokument</w:t>
      </w:r>
    </w:p>
    <w:p w14:paraId="2CFF4BFF" w14:textId="3810E95C" w:rsidR="00AE493D" w:rsidRDefault="00AE493D" w:rsidP="00AE493D">
      <w:r>
        <w:t>Dokumentet upprättades år 2022 och fastställdes på ordinarie stämma 2022-</w:t>
      </w:r>
      <w:r w:rsidR="007D794B">
        <w:t>09-28.</w:t>
      </w:r>
      <w:r>
        <w:t xml:space="preserve"> </w:t>
      </w:r>
    </w:p>
    <w:p w14:paraId="7DBEB77B" w14:textId="3DFA7E44" w:rsidR="00AE493D" w:rsidRDefault="00AE493D" w:rsidP="00AE493D">
      <w:r>
        <w:t xml:space="preserve">Planen är utformat på ett långsiktigt sätt och bör revideras tidigast var 5:e år eller då dokumentet inte längre speglar verksamheten som bedrivs på ett avsett </w:t>
      </w:r>
      <w:r w:rsidR="007D794B">
        <w:t>sätt</w:t>
      </w:r>
      <w:r>
        <w:t>.</w:t>
      </w:r>
    </w:p>
    <w:p w14:paraId="77E0588E" w14:textId="5BBB14C2" w:rsidR="00AE493D" w:rsidRDefault="00AE493D">
      <w:r>
        <w:br w:type="page"/>
      </w:r>
    </w:p>
    <w:p w14:paraId="669007F4" w14:textId="1D1B2F44" w:rsidR="002519BE" w:rsidRDefault="002519BE" w:rsidP="007E13CC">
      <w:pPr>
        <w:pStyle w:val="Rubrik1"/>
      </w:pPr>
      <w:r>
        <w:lastRenderedPageBreak/>
        <w:t>Inledning</w:t>
      </w:r>
    </w:p>
    <w:p w14:paraId="6ECBB437" w14:textId="77777777" w:rsidR="002519BE" w:rsidRDefault="002519BE" w:rsidP="002519BE">
      <w:pPr>
        <w:pStyle w:val="Normalwebb"/>
        <w:shd w:val="clear" w:color="auto" w:fill="FFFFFF"/>
      </w:pPr>
      <w:r>
        <w:t xml:space="preserve">Enligt </w:t>
      </w:r>
      <w:r w:rsidRPr="002519BE">
        <w:rPr>
          <w:rFonts w:asciiTheme="minorHAnsi" w:eastAsiaTheme="minorHAnsi" w:hAnsiTheme="minorHAnsi" w:cstheme="minorBidi"/>
          <w:sz w:val="22"/>
          <w:szCs w:val="22"/>
          <w:lang w:eastAsia="en-US"/>
        </w:rPr>
        <w:t>Lag (1973:1150) om förvaltning av samfälligheter</w:t>
      </w:r>
      <w:r>
        <w:t xml:space="preserve"> §19 ska </w:t>
      </w:r>
    </w:p>
    <w:p w14:paraId="7C368DB4" w14:textId="77777777" w:rsidR="002519BE" w:rsidRPr="002519BE" w:rsidRDefault="002519BE" w:rsidP="002519BE">
      <w:pPr>
        <w:pStyle w:val="Normalwebb"/>
        <w:shd w:val="clear" w:color="auto" w:fill="FFFFFF"/>
        <w:rPr>
          <w:rFonts w:asciiTheme="minorHAnsi" w:eastAsiaTheme="minorHAnsi" w:hAnsiTheme="minorHAnsi" w:cstheme="minorBidi"/>
          <w:i/>
          <w:iCs/>
          <w:sz w:val="18"/>
          <w:szCs w:val="18"/>
          <w:lang w:eastAsia="en-US"/>
        </w:rPr>
      </w:pPr>
      <w:r w:rsidRPr="002519BE">
        <w:rPr>
          <w:i/>
          <w:iCs/>
          <w:sz w:val="18"/>
          <w:szCs w:val="18"/>
        </w:rPr>
        <w:t>”</w:t>
      </w:r>
      <w:r w:rsidRPr="002519BE">
        <w:rPr>
          <w:rFonts w:ascii="Arial" w:hAnsi="Arial" w:cs="Arial"/>
          <w:i/>
          <w:iCs/>
          <w:color w:val="000000"/>
          <w:sz w:val="18"/>
          <w:szCs w:val="18"/>
        </w:rPr>
        <w:t xml:space="preserve"> </w:t>
      </w:r>
      <w:r w:rsidRPr="002519BE">
        <w:rPr>
          <w:rFonts w:asciiTheme="minorHAnsi" w:eastAsiaTheme="minorHAnsi" w:hAnsiTheme="minorHAnsi" w:cstheme="minorBidi"/>
          <w:i/>
          <w:iCs/>
          <w:sz w:val="18"/>
          <w:szCs w:val="18"/>
          <w:lang w:eastAsia="en-US"/>
        </w:rPr>
        <w:t>En samfällighetsförening som förvaltar en gemensamhetsanläggning skall avsätta medel till en fond för att säkerställa underhåll och förnyelse av gemensamhetsanläggningen, när gemensamhetsanläggningen</w:t>
      </w:r>
    </w:p>
    <w:p w14:paraId="653CAC60" w14:textId="373300BA" w:rsidR="002519BE" w:rsidRPr="002519BE" w:rsidRDefault="002519BE" w:rsidP="002519BE">
      <w:pPr>
        <w:pStyle w:val="Normalwebb"/>
        <w:numPr>
          <w:ilvl w:val="0"/>
          <w:numId w:val="2"/>
        </w:numPr>
        <w:shd w:val="clear" w:color="auto" w:fill="FFFFFF"/>
        <w:rPr>
          <w:rFonts w:asciiTheme="minorHAnsi" w:eastAsiaTheme="minorHAnsi" w:hAnsiTheme="minorHAnsi" w:cstheme="minorBidi"/>
          <w:i/>
          <w:iCs/>
          <w:sz w:val="18"/>
          <w:szCs w:val="18"/>
          <w:lang w:eastAsia="en-US"/>
        </w:rPr>
      </w:pPr>
      <w:r w:rsidRPr="002519BE">
        <w:rPr>
          <w:rFonts w:asciiTheme="minorHAnsi" w:eastAsiaTheme="minorHAnsi" w:hAnsiTheme="minorHAnsi" w:cstheme="minorBidi"/>
          <w:i/>
          <w:iCs/>
          <w:sz w:val="18"/>
          <w:szCs w:val="18"/>
          <w:lang w:eastAsia="en-US"/>
        </w:rPr>
        <w:t xml:space="preserve"> är av kommunalteknisk natur eller annars av större värde samt inrättad för småhusfastigheter eller för sådana fastigheter tillsammans med hyresfastigheter eller bostadsrättsfastigheter, eller</w:t>
      </w:r>
    </w:p>
    <w:p w14:paraId="6DB9EDC8" w14:textId="3DDABC44" w:rsidR="002519BE" w:rsidRPr="002519BE" w:rsidRDefault="002519BE" w:rsidP="002519BE">
      <w:pPr>
        <w:pStyle w:val="Normalwebb"/>
        <w:numPr>
          <w:ilvl w:val="0"/>
          <w:numId w:val="2"/>
        </w:numPr>
        <w:shd w:val="clear" w:color="auto" w:fill="FFFFFF"/>
        <w:rPr>
          <w:rFonts w:asciiTheme="minorHAnsi" w:eastAsiaTheme="minorHAnsi" w:hAnsiTheme="minorHAnsi" w:cstheme="minorBidi"/>
          <w:i/>
          <w:iCs/>
          <w:sz w:val="18"/>
          <w:szCs w:val="18"/>
          <w:lang w:eastAsia="en-US"/>
        </w:rPr>
      </w:pPr>
      <w:r w:rsidRPr="002519BE">
        <w:rPr>
          <w:rFonts w:asciiTheme="minorHAnsi" w:eastAsiaTheme="minorHAnsi" w:hAnsiTheme="minorHAnsi" w:cstheme="minorBidi"/>
          <w:i/>
          <w:iCs/>
          <w:sz w:val="18"/>
          <w:szCs w:val="18"/>
          <w:lang w:eastAsia="en-US"/>
        </w:rPr>
        <w:t>tillförsäkrar en tredimensionell fastighet eller ett tredimensionellt fastighetsutrymme sådana rättigheter som avses i 3 kap. 1 a § första stycket 2 fastighetsbildningslagen (1970:988).</w:t>
      </w:r>
    </w:p>
    <w:p w14:paraId="10E40D5E" w14:textId="6A1B2EFE" w:rsidR="002519BE" w:rsidRPr="002519BE" w:rsidRDefault="002519BE" w:rsidP="002519BE">
      <w:pPr>
        <w:pStyle w:val="Normalwebb"/>
        <w:shd w:val="clear" w:color="auto" w:fill="FFFFFF"/>
        <w:rPr>
          <w:rFonts w:asciiTheme="minorHAnsi" w:eastAsiaTheme="minorHAnsi" w:hAnsiTheme="minorHAnsi" w:cstheme="minorBidi"/>
          <w:i/>
          <w:iCs/>
          <w:sz w:val="18"/>
          <w:szCs w:val="18"/>
          <w:lang w:eastAsia="en-US"/>
        </w:rPr>
      </w:pPr>
      <w:r w:rsidRPr="002519BE">
        <w:rPr>
          <w:rFonts w:asciiTheme="minorHAnsi" w:eastAsiaTheme="minorHAnsi" w:hAnsiTheme="minorHAnsi" w:cstheme="minorBidi"/>
          <w:i/>
          <w:iCs/>
          <w:sz w:val="18"/>
          <w:szCs w:val="18"/>
          <w:lang w:eastAsia="en-US"/>
        </w:rPr>
        <w:t>I de fall som avses i andra stycket skall föreningens styrelse också upprätta en underhålls- och förnyelseplan. Den skall innehålla de upplysningar som är av betydelse för att fondavsättningarnas storlek skall kunna bedömas. Lag (2003:629).</w:t>
      </w:r>
    </w:p>
    <w:p w14:paraId="2FE6B7B7" w14:textId="4122C178" w:rsidR="002519BE" w:rsidRDefault="002519BE" w:rsidP="002519BE">
      <w:pPr>
        <w:pStyle w:val="Normalwebb"/>
        <w:shd w:val="clear" w:color="auto" w:fill="FFFFFF"/>
        <w:rPr>
          <w:rFonts w:asciiTheme="minorHAnsi" w:eastAsiaTheme="minorHAnsi" w:hAnsiTheme="minorHAnsi" w:cstheme="minorBidi"/>
          <w:i/>
          <w:iCs/>
          <w:sz w:val="22"/>
          <w:szCs w:val="22"/>
          <w:lang w:eastAsia="en-US"/>
        </w:rPr>
      </w:pPr>
    </w:p>
    <w:p w14:paraId="6D64F833" w14:textId="6834F9EC" w:rsidR="002519BE" w:rsidRDefault="002519BE" w:rsidP="002519BE">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Bestämmelsen har i lagen tillkommit av rättviseskäl, att de som använder och sliter på anläggningarna skall också betala för sitt slitage</w:t>
      </w:r>
      <w:r w:rsidR="00597BE1">
        <w:rPr>
          <w:rFonts w:asciiTheme="minorHAnsi" w:eastAsiaTheme="minorHAnsi" w:hAnsiTheme="minorHAnsi" w:cstheme="minorBidi"/>
          <w:sz w:val="22"/>
          <w:szCs w:val="22"/>
          <w:lang w:eastAsia="en-US"/>
        </w:rPr>
        <w:t xml:space="preserve"> enligt villaägarnas skrivelse om ”underhålls- och förnyelsefond”</w:t>
      </w:r>
    </w:p>
    <w:p w14:paraId="441A8444" w14:textId="7959919B" w:rsidR="00597BE1" w:rsidRDefault="00597BE1" w:rsidP="002519BE">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Denna fonderingsplan har till stor del gjorts med utgångspunkt med villaägarnas skrivelse och flertalet meningar har kopierats rakt av in i samfällighetsföreningen Tuppkammen/</w:t>
      </w:r>
      <w:proofErr w:type="spellStart"/>
      <w:r>
        <w:rPr>
          <w:rFonts w:asciiTheme="minorHAnsi" w:eastAsiaTheme="minorHAnsi" w:hAnsiTheme="minorHAnsi" w:cstheme="minorBidi"/>
          <w:sz w:val="22"/>
          <w:szCs w:val="22"/>
          <w:lang w:eastAsia="en-US"/>
        </w:rPr>
        <w:t>Tärnskriets</w:t>
      </w:r>
      <w:proofErr w:type="spellEnd"/>
      <w:r>
        <w:rPr>
          <w:rFonts w:asciiTheme="minorHAnsi" w:eastAsiaTheme="minorHAnsi" w:hAnsiTheme="minorHAnsi" w:cstheme="minorBidi"/>
          <w:sz w:val="22"/>
          <w:szCs w:val="22"/>
          <w:lang w:eastAsia="en-US"/>
        </w:rPr>
        <w:t xml:space="preserve"> fonderingsplan.</w:t>
      </w:r>
    </w:p>
    <w:p w14:paraId="666B9A41" w14:textId="18B584B6" w:rsidR="00597BE1" w:rsidRDefault="00597BE1" w:rsidP="002519BE">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Villaägarna skriver bland annat följande om fördelar med en fonderingsplan</w:t>
      </w:r>
    </w:p>
    <w:p w14:paraId="6ABEC6F1" w14:textId="77777777" w:rsidR="00597BE1" w:rsidRPr="00597BE1" w:rsidRDefault="00597BE1" w:rsidP="002519BE">
      <w:pPr>
        <w:pStyle w:val="Normalwebb"/>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Förutom rättviseskälet och att det är ett lagligt krav finns det andra fördelar med att ha en fond och en plan för framtida underhållskostnader.</w:t>
      </w:r>
    </w:p>
    <w:p w14:paraId="51F6943B" w14:textId="38D4866A" w:rsidR="00597BE1" w:rsidRPr="00597BE1" w:rsidRDefault="00597BE1" w:rsidP="00597BE1">
      <w:pPr>
        <w:pStyle w:val="Normalwebb"/>
        <w:numPr>
          <w:ilvl w:val="0"/>
          <w:numId w:val="4"/>
        </w:numPr>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 xml:space="preserve">När föreningen behöver utföra en mera omfattande åtgärd finns medel redan tillgängliga och föreningen behöver inte göra extra utdebiteringar eller ta upp stora lån. </w:t>
      </w:r>
    </w:p>
    <w:p w14:paraId="27B70341" w14:textId="1B39B782" w:rsidR="00597BE1" w:rsidRPr="00597BE1" w:rsidRDefault="00597BE1" w:rsidP="00597BE1">
      <w:pPr>
        <w:pStyle w:val="Normalwebb"/>
        <w:numPr>
          <w:ilvl w:val="0"/>
          <w:numId w:val="4"/>
        </w:numPr>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Storleken på avgifterna till samfälligheten blir jämnare fördelade över tiden och det blir enklare för den enskilde att planera sin egen ekonomi.</w:t>
      </w:r>
    </w:p>
    <w:p w14:paraId="7D64815B" w14:textId="442078A8" w:rsidR="00597BE1" w:rsidRPr="00597BE1" w:rsidRDefault="00597BE1" w:rsidP="00597BE1">
      <w:pPr>
        <w:pStyle w:val="Normalwebb"/>
        <w:numPr>
          <w:ilvl w:val="0"/>
          <w:numId w:val="4"/>
        </w:numPr>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 xml:space="preserve">Föreningen förebygger akuta åtgärder som i regel blir kostsammare än de planerade. </w:t>
      </w:r>
    </w:p>
    <w:p w14:paraId="4CA0ED28" w14:textId="2CC18D6A" w:rsidR="00597BE1" w:rsidRPr="00597BE1" w:rsidRDefault="00597BE1" w:rsidP="00597BE1">
      <w:pPr>
        <w:pStyle w:val="Normalwebb"/>
        <w:numPr>
          <w:ilvl w:val="0"/>
          <w:numId w:val="4"/>
        </w:numPr>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 xml:space="preserve">Den som skall sälja sin fastighet har ett bra försäljningsargument om anläggningarna är välskötta och föreningen har en god ekonomi. </w:t>
      </w:r>
    </w:p>
    <w:p w14:paraId="45CD3235" w14:textId="3A891FD7" w:rsidR="00597BE1" w:rsidRDefault="00597BE1" w:rsidP="00597BE1">
      <w:pPr>
        <w:pStyle w:val="Normalwebb"/>
        <w:numPr>
          <w:ilvl w:val="0"/>
          <w:numId w:val="4"/>
        </w:numPr>
        <w:shd w:val="clear" w:color="auto" w:fill="FFFFFF"/>
        <w:rPr>
          <w:rFonts w:asciiTheme="minorHAnsi" w:eastAsiaTheme="minorHAnsi" w:hAnsiTheme="minorHAnsi" w:cstheme="minorBidi"/>
          <w:sz w:val="22"/>
          <w:szCs w:val="22"/>
          <w:lang w:eastAsia="en-US"/>
        </w:rPr>
      </w:pPr>
      <w:r w:rsidRPr="00597BE1">
        <w:rPr>
          <w:rFonts w:asciiTheme="minorHAnsi" w:eastAsiaTheme="minorHAnsi" w:hAnsiTheme="minorHAnsi" w:cstheme="minorBidi"/>
          <w:sz w:val="22"/>
          <w:szCs w:val="22"/>
          <w:lang w:eastAsia="en-US"/>
        </w:rPr>
        <w:t>Styrelsen har ett bra underlag för att kunna informera medlemmarna om vilka kostnader man får räkna med för underhåll och förnyelse av anläggningarna.</w:t>
      </w:r>
    </w:p>
    <w:p w14:paraId="399743F0" w14:textId="26BEA29A" w:rsidR="00C03B07" w:rsidRDefault="00C03B07" w:rsidP="00C03B07">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Bland nackdelar nämns att det kan bli ett merarbete för styrelsen om ränteinkomster för medlemmar överstiger 600 kr. Detta bedöms inte vara någon risk på kort till medellång sikt eftersom </w:t>
      </w:r>
      <w:r w:rsidR="003445FA">
        <w:rPr>
          <w:rFonts w:asciiTheme="minorHAnsi" w:eastAsiaTheme="minorHAnsi" w:hAnsiTheme="minorHAnsi" w:cstheme="minorBidi"/>
          <w:sz w:val="22"/>
          <w:szCs w:val="22"/>
          <w:lang w:eastAsia="en-US"/>
        </w:rPr>
        <w:t>den summan motsvarar 5,76 Mkr med nuvarande räntenivå på ca 0,5</w:t>
      </w:r>
      <w:r w:rsidR="00FE75FA">
        <w:rPr>
          <w:rFonts w:asciiTheme="minorHAnsi" w:eastAsiaTheme="minorHAnsi" w:hAnsiTheme="minorHAnsi" w:cstheme="minorBidi"/>
          <w:sz w:val="22"/>
          <w:szCs w:val="22"/>
          <w:lang w:eastAsia="en-US"/>
        </w:rPr>
        <w:t>% (2021).</w:t>
      </w:r>
    </w:p>
    <w:p w14:paraId="204E954B" w14:textId="01C22B94" w:rsidR="00D916A3" w:rsidRDefault="00D916A3" w:rsidP="00C03B07">
      <w:pPr>
        <w:pStyle w:val="Normalwebb"/>
        <w:shd w:val="clear" w:color="auto" w:fill="FFFFFF"/>
        <w:rPr>
          <w:rFonts w:asciiTheme="minorHAnsi" w:eastAsiaTheme="minorHAnsi" w:hAnsiTheme="minorHAnsi" w:cstheme="minorBidi"/>
          <w:sz w:val="22"/>
          <w:szCs w:val="22"/>
          <w:lang w:eastAsia="en-US"/>
        </w:rPr>
      </w:pPr>
    </w:p>
    <w:p w14:paraId="110E6B44" w14:textId="3F94A34D" w:rsidR="00D916A3" w:rsidRDefault="00D916A3" w:rsidP="00AE493D">
      <w:pPr>
        <w:pStyle w:val="Rubrik1"/>
        <w:rPr>
          <w:rFonts w:eastAsiaTheme="minorHAnsi"/>
        </w:rPr>
      </w:pPr>
      <w:r>
        <w:rPr>
          <w:rFonts w:eastAsiaTheme="minorHAnsi"/>
        </w:rPr>
        <w:t>Indexuppräkning</w:t>
      </w:r>
    </w:p>
    <w:p w14:paraId="4449A467" w14:textId="36F7CC15" w:rsidR="00AE493D" w:rsidRDefault="00AE493D" w:rsidP="00AE493D">
      <w:r>
        <w:t xml:space="preserve">Alla delar som fonderingsplanen grundar sig på, </w:t>
      </w:r>
      <w:r w:rsidR="00C13F21">
        <w:t xml:space="preserve">kan förväntas öka i pris och borde således indexuppräkas för varje år för att inte urholka de avsättningar som görs för framtida investeringar. </w:t>
      </w:r>
      <w:r w:rsidR="00C13F21">
        <w:lastRenderedPageBreak/>
        <w:t xml:space="preserve">Då det rör byggkostnader är ett faktorprisindex det mest relevanta att gå efter. Däremot kan det vara svårt för en samfällighet att utgå från ett sådant index. Samfälligheten utgår därför från den allmänna inflationen mätt i </w:t>
      </w:r>
      <w:proofErr w:type="spellStart"/>
      <w:r w:rsidR="00C13F21">
        <w:t>KPIF</w:t>
      </w:r>
      <w:proofErr w:type="spellEnd"/>
      <w:r w:rsidR="00C13F21">
        <w:t xml:space="preserve">, där man även kan prognostisera avsättningarnas storlek över tid på ett enklare sätt, då den inte har samma förmåga att fluktuera. </w:t>
      </w:r>
      <w:r>
        <w:t xml:space="preserve"> </w:t>
      </w:r>
    </w:p>
    <w:p w14:paraId="5B5D0955" w14:textId="1C128B66" w:rsidR="00A73F1D" w:rsidRDefault="00A73F1D" w:rsidP="00AE493D">
      <w:r>
        <w:t>För denna fonderingsplan har ännu inte alla indexuppräkningar gjorts. Det vill säga för 2022. Vissa kostnader baserar sig på kostnader från början av 2010-talet.</w:t>
      </w:r>
    </w:p>
    <w:p w14:paraId="29F6C676" w14:textId="7B28616C" w:rsidR="003445FA" w:rsidRDefault="003445FA" w:rsidP="00C03B07">
      <w:pPr>
        <w:pStyle w:val="Normalwebb"/>
        <w:shd w:val="clear" w:color="auto" w:fill="FFFFFF"/>
        <w:rPr>
          <w:rFonts w:asciiTheme="minorHAnsi" w:eastAsiaTheme="minorHAnsi" w:hAnsiTheme="minorHAnsi" w:cstheme="minorBidi"/>
          <w:sz w:val="22"/>
          <w:szCs w:val="22"/>
          <w:lang w:eastAsia="en-US"/>
        </w:rPr>
      </w:pPr>
    </w:p>
    <w:p w14:paraId="572E7427" w14:textId="2C2AE931" w:rsidR="003445FA" w:rsidRDefault="003445FA" w:rsidP="00C03B07">
      <w:pPr>
        <w:pStyle w:val="Normalwebb"/>
        <w:shd w:val="clear" w:color="auto" w:fill="FFFFFF"/>
        <w:rPr>
          <w:rFonts w:asciiTheme="minorHAnsi" w:eastAsiaTheme="minorHAnsi" w:hAnsiTheme="minorHAnsi" w:cstheme="minorBidi"/>
          <w:sz w:val="22"/>
          <w:szCs w:val="22"/>
          <w:lang w:eastAsia="en-US"/>
        </w:rPr>
      </w:pPr>
    </w:p>
    <w:p w14:paraId="0540BB4B" w14:textId="3DAFD1BE" w:rsidR="003445FA" w:rsidRDefault="007E13CC" w:rsidP="00FA3A27">
      <w:pPr>
        <w:pStyle w:val="Rubrik1"/>
        <w:rPr>
          <w:rFonts w:eastAsiaTheme="minorHAnsi"/>
        </w:rPr>
      </w:pPr>
      <w:r>
        <w:rPr>
          <w:rFonts w:eastAsiaTheme="minorHAnsi"/>
        </w:rPr>
        <w:t>Finansiering</w:t>
      </w:r>
    </w:p>
    <w:p w14:paraId="1D0E3C7E" w14:textId="0B868BBB" w:rsidR="007E13CC" w:rsidRDefault="007E13CC" w:rsidP="00C03B07">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Samfälligheten har under flertalet år varit underfinansierad vilket har givit upphov till extra utdebiteringar då </w:t>
      </w:r>
      <w:proofErr w:type="gramStart"/>
      <w:r>
        <w:rPr>
          <w:rFonts w:asciiTheme="minorHAnsi" w:eastAsiaTheme="minorHAnsi" w:hAnsiTheme="minorHAnsi" w:cstheme="minorBidi"/>
          <w:sz w:val="22"/>
          <w:szCs w:val="22"/>
          <w:lang w:eastAsia="en-US"/>
        </w:rPr>
        <w:t>t.ex.</w:t>
      </w:r>
      <w:proofErr w:type="gramEnd"/>
      <w:r>
        <w:rPr>
          <w:rFonts w:asciiTheme="minorHAnsi" w:eastAsiaTheme="minorHAnsi" w:hAnsiTheme="minorHAnsi" w:cstheme="minorBidi"/>
          <w:sz w:val="22"/>
          <w:szCs w:val="22"/>
          <w:lang w:eastAsia="en-US"/>
        </w:rPr>
        <w:t xml:space="preserve"> soprummen sattes upp och ersatte respektive soplucka på varje garage. Extra utdebiteringar följer inte rättviseprincipen och ska i normalfallet alltid undvikas om ingen annan lösning är möjlig.</w:t>
      </w:r>
    </w:p>
    <w:p w14:paraId="43AB4DB0" w14:textId="53F8C5A1" w:rsidR="007E13CC" w:rsidRDefault="007E13CC" w:rsidP="00C03B07">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Att samfälligheten är underfinansierad kan också ses via de lån som idag är upptagna på samfälligheten. Att ta lån med en samfällighet normalt sett inte att rekommendera</w:t>
      </w:r>
      <w:r w:rsidR="00C65656">
        <w:rPr>
          <w:rFonts w:asciiTheme="minorHAnsi" w:eastAsiaTheme="minorHAnsi" w:hAnsiTheme="minorHAnsi" w:cstheme="minorBidi"/>
          <w:sz w:val="22"/>
          <w:szCs w:val="22"/>
          <w:lang w:eastAsia="en-US"/>
        </w:rPr>
        <w:t xml:space="preserve"> på grund av dess ofördelaktiga villkor</w:t>
      </w:r>
      <w:r>
        <w:rPr>
          <w:rFonts w:asciiTheme="minorHAnsi" w:eastAsiaTheme="minorHAnsi" w:hAnsiTheme="minorHAnsi" w:cstheme="minorBidi"/>
          <w:sz w:val="22"/>
          <w:szCs w:val="22"/>
          <w:lang w:eastAsia="en-US"/>
        </w:rPr>
        <w:t xml:space="preserve">. Juridiskt har inte vår samfällighetsförening </w:t>
      </w:r>
      <w:proofErr w:type="gramStart"/>
      <w:r>
        <w:rPr>
          <w:rFonts w:asciiTheme="minorHAnsi" w:eastAsiaTheme="minorHAnsi" w:hAnsiTheme="minorHAnsi" w:cstheme="minorBidi"/>
          <w:sz w:val="22"/>
          <w:szCs w:val="22"/>
          <w:lang w:eastAsia="en-US"/>
        </w:rPr>
        <w:t>några egendom</w:t>
      </w:r>
      <w:proofErr w:type="gramEnd"/>
      <w:r>
        <w:rPr>
          <w:rFonts w:asciiTheme="minorHAnsi" w:eastAsiaTheme="minorHAnsi" w:hAnsiTheme="minorHAnsi" w:cstheme="minorBidi"/>
          <w:sz w:val="22"/>
          <w:szCs w:val="22"/>
          <w:lang w:eastAsia="en-US"/>
        </w:rPr>
        <w:t xml:space="preserve"> utan samfälligheten förvaltar enbart de gemensamma tillgångarna. Detta innebär att fastigheten som ägs gemensamt inte kan intecknas för lån. Därmed är de lån som samfälligheten tar upp s.k. blanco-lån, vilket innebär lån utan säkerhet. Dessa lån har högre ränta än normala lån (ca 2% </w:t>
      </w:r>
      <w:r w:rsidR="00FE75FA">
        <w:rPr>
          <w:rFonts w:asciiTheme="minorHAnsi" w:eastAsiaTheme="minorHAnsi" w:hAnsiTheme="minorHAnsi" w:cstheme="minorBidi"/>
          <w:sz w:val="22"/>
          <w:szCs w:val="22"/>
          <w:lang w:eastAsia="en-US"/>
        </w:rPr>
        <w:t>år 2021</w:t>
      </w:r>
      <w:r>
        <w:rPr>
          <w:rFonts w:asciiTheme="minorHAnsi" w:eastAsiaTheme="minorHAnsi" w:hAnsiTheme="minorHAnsi" w:cstheme="minorBidi"/>
          <w:sz w:val="22"/>
          <w:szCs w:val="22"/>
          <w:lang w:eastAsia="en-US"/>
        </w:rPr>
        <w:t xml:space="preserve">) och kan inte </w:t>
      </w:r>
      <w:r w:rsidR="00C65656">
        <w:rPr>
          <w:rFonts w:asciiTheme="minorHAnsi" w:eastAsiaTheme="minorHAnsi" w:hAnsiTheme="minorHAnsi" w:cstheme="minorBidi"/>
          <w:sz w:val="22"/>
          <w:szCs w:val="22"/>
          <w:lang w:eastAsia="en-US"/>
        </w:rPr>
        <w:t xml:space="preserve">erhållas </w:t>
      </w:r>
      <w:r>
        <w:rPr>
          <w:rFonts w:asciiTheme="minorHAnsi" w:eastAsiaTheme="minorHAnsi" w:hAnsiTheme="minorHAnsi" w:cstheme="minorBidi"/>
          <w:sz w:val="22"/>
          <w:szCs w:val="22"/>
          <w:lang w:eastAsia="en-US"/>
        </w:rPr>
        <w:t>med så långa löptider/avbetalningstider som investeringen håller. Detta innebär att finansiering med lån inte är önskvärt, men kan vara nödvändigt.</w:t>
      </w:r>
    </w:p>
    <w:p w14:paraId="1CCD5E29" w14:textId="3586F09D" w:rsidR="007E13CC" w:rsidRDefault="007E13CC" w:rsidP="00C03B07">
      <w:pPr>
        <w:pStyle w:val="Normalweb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Det bästa ur ett rättviseperspektiv är att fondera så att egna medel kan tillföras reinvesteringar och underhåll på anläggningar. Går inte detta är normalt lån det andra alternativet och det sista alternativet är extra utdebiteringar. Det går att kombinera dessa åtgärde</w:t>
      </w:r>
      <w:r w:rsidR="00C65656">
        <w:rPr>
          <w:rFonts w:asciiTheme="minorHAnsi" w:eastAsiaTheme="minorHAnsi" w:hAnsiTheme="minorHAnsi" w:cstheme="minorBidi"/>
          <w:sz w:val="22"/>
          <w:szCs w:val="22"/>
          <w:lang w:eastAsia="en-US"/>
        </w:rPr>
        <w:t>r, vilka</w:t>
      </w:r>
      <w:r>
        <w:rPr>
          <w:rFonts w:asciiTheme="minorHAnsi" w:eastAsiaTheme="minorHAnsi" w:hAnsiTheme="minorHAnsi" w:cstheme="minorBidi"/>
          <w:sz w:val="22"/>
          <w:szCs w:val="22"/>
          <w:lang w:eastAsia="en-US"/>
        </w:rPr>
        <w:t xml:space="preserve"> får avgöras från fall till fall.</w:t>
      </w:r>
    </w:p>
    <w:p w14:paraId="4098FADC" w14:textId="77777777" w:rsidR="007E13CC" w:rsidRDefault="007E13CC" w:rsidP="00C03B07">
      <w:pPr>
        <w:pStyle w:val="Normalwebb"/>
        <w:shd w:val="clear" w:color="auto" w:fill="FFFFFF"/>
        <w:rPr>
          <w:rFonts w:asciiTheme="minorHAnsi" w:eastAsiaTheme="minorHAnsi" w:hAnsiTheme="minorHAnsi" w:cstheme="minorBidi"/>
          <w:sz w:val="22"/>
          <w:szCs w:val="22"/>
          <w:lang w:eastAsia="en-US"/>
        </w:rPr>
      </w:pPr>
    </w:p>
    <w:p w14:paraId="62660FD7" w14:textId="77777777" w:rsidR="00597BE1" w:rsidRDefault="00597BE1" w:rsidP="002519BE">
      <w:pPr>
        <w:pStyle w:val="Normalwebb"/>
        <w:shd w:val="clear" w:color="auto" w:fill="FFFFFF"/>
        <w:rPr>
          <w:rFonts w:asciiTheme="minorHAnsi" w:eastAsiaTheme="minorHAnsi" w:hAnsiTheme="minorHAnsi" w:cstheme="minorBidi"/>
          <w:sz w:val="22"/>
          <w:szCs w:val="22"/>
          <w:lang w:eastAsia="en-US"/>
        </w:rPr>
      </w:pPr>
    </w:p>
    <w:p w14:paraId="2E6BCE1C" w14:textId="77777777" w:rsidR="002519BE" w:rsidRPr="002519BE" w:rsidRDefault="002519BE" w:rsidP="002519BE">
      <w:pPr>
        <w:pStyle w:val="Normalwebb"/>
        <w:shd w:val="clear" w:color="auto" w:fill="FFFFFF"/>
        <w:rPr>
          <w:rFonts w:asciiTheme="minorHAnsi" w:eastAsiaTheme="minorHAnsi" w:hAnsiTheme="minorHAnsi" w:cstheme="minorBidi"/>
          <w:sz w:val="22"/>
          <w:szCs w:val="22"/>
          <w:lang w:eastAsia="en-US"/>
        </w:rPr>
      </w:pPr>
    </w:p>
    <w:p w14:paraId="4CE1E10F" w14:textId="17E17E6E" w:rsidR="002519BE" w:rsidRPr="002519BE" w:rsidRDefault="002519BE" w:rsidP="002519BE"/>
    <w:p w14:paraId="330BD93F" w14:textId="77777777" w:rsidR="006B32AF" w:rsidRDefault="006B32AF"/>
    <w:p w14:paraId="79B4CBC7" w14:textId="77777777" w:rsidR="006B32AF" w:rsidRDefault="006B32AF"/>
    <w:p w14:paraId="50062567" w14:textId="77777777" w:rsidR="006B32AF" w:rsidRDefault="006B32AF"/>
    <w:p w14:paraId="2356C51F" w14:textId="77777777" w:rsidR="006B32AF" w:rsidRDefault="006B32AF"/>
    <w:p w14:paraId="4EDB1507" w14:textId="77777777" w:rsidR="006B32AF" w:rsidRDefault="006B32AF"/>
    <w:p w14:paraId="5385A420" w14:textId="77777777" w:rsidR="006B32AF" w:rsidRDefault="006B32AF"/>
    <w:p w14:paraId="36F1118E" w14:textId="0E7A8340" w:rsidR="00AE493D" w:rsidRDefault="006B32AF" w:rsidP="00A73F1D">
      <w:pPr>
        <w:pStyle w:val="Rubrik1"/>
      </w:pPr>
      <w:r>
        <w:br w:type="page"/>
      </w:r>
      <w:r>
        <w:lastRenderedPageBreak/>
        <w:t>Grund för fonderingsavsättningarnas storlek</w:t>
      </w:r>
    </w:p>
    <w:p w14:paraId="6EBF53ED" w14:textId="77777777" w:rsidR="007F1D43" w:rsidRPr="007F1D43" w:rsidRDefault="007F1D43" w:rsidP="007F1D43"/>
    <w:p w14:paraId="386F2E5F" w14:textId="77777777" w:rsidR="007F1D43" w:rsidRDefault="007F1D43" w:rsidP="007F1D43">
      <w:pPr>
        <w:pStyle w:val="Rubrik1"/>
      </w:pPr>
    </w:p>
    <w:p w14:paraId="6AFAE4EA" w14:textId="35D3B1FB" w:rsidR="002519BE" w:rsidRDefault="00D878BF" w:rsidP="002519BE">
      <w:r>
        <w:rPr>
          <w:noProof/>
        </w:rPr>
        <w:drawing>
          <wp:inline distT="0" distB="0" distL="0" distR="0" wp14:anchorId="155FC35A" wp14:editId="40958F87">
            <wp:extent cx="6210457" cy="4638675"/>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212440" cy="4640156"/>
                    </a:xfrm>
                    <a:prstGeom prst="rect">
                      <a:avLst/>
                    </a:prstGeom>
                  </pic:spPr>
                </pic:pic>
              </a:graphicData>
            </a:graphic>
          </wp:inline>
        </w:drawing>
      </w:r>
    </w:p>
    <w:p w14:paraId="2F458C91" w14:textId="1A2E6966" w:rsidR="007F1D43" w:rsidRDefault="007F1D43" w:rsidP="002519BE"/>
    <w:p w14:paraId="018E35EA" w14:textId="238CAB0D" w:rsidR="007F1D43" w:rsidRDefault="007F1D43" w:rsidP="002519BE"/>
    <w:p w14:paraId="668ADD40" w14:textId="77777777" w:rsidR="00A73F1D" w:rsidRDefault="00A73F1D" w:rsidP="002519BE"/>
    <w:p w14:paraId="5476CAEA" w14:textId="44B0027D" w:rsidR="007F1D43" w:rsidRDefault="007F1D43" w:rsidP="002519BE"/>
    <w:p w14:paraId="2F5C4416" w14:textId="473A19A4" w:rsidR="00D878BF" w:rsidRDefault="00D878BF" w:rsidP="002519BE"/>
    <w:p w14:paraId="1AF67EF9" w14:textId="7D71DA7D" w:rsidR="00D878BF" w:rsidRDefault="00D878BF" w:rsidP="002519BE"/>
    <w:p w14:paraId="13D7EAEB" w14:textId="77777777" w:rsidR="00D878BF" w:rsidRDefault="00D878BF" w:rsidP="002519BE"/>
    <w:p w14:paraId="5678074F" w14:textId="598D9930" w:rsidR="007F1D43" w:rsidRDefault="007F1D43" w:rsidP="00780843">
      <w:pPr>
        <w:pStyle w:val="Rubrik2"/>
      </w:pPr>
      <w:r>
        <w:lastRenderedPageBreak/>
        <w:t>VA-ledningar</w:t>
      </w:r>
    </w:p>
    <w:p w14:paraId="283AB123" w14:textId="71CED188" w:rsidR="00780843" w:rsidRDefault="007F1D43" w:rsidP="002519BE">
      <w:r>
        <w:t xml:space="preserve">Beloppet som är framtaget baserar sig på den faktiska kostnaden 2013. Att göra samma investering idag skulle således innebära högre kostnader. </w:t>
      </w:r>
      <w:r w:rsidR="00780843">
        <w:t xml:space="preserve">För livslängden har helt utgått från </w:t>
      </w:r>
      <w:proofErr w:type="gramStart"/>
      <w:r w:rsidR="00780843">
        <w:t>villaägarnas  förslag</w:t>
      </w:r>
      <w:proofErr w:type="gramEnd"/>
      <w:r w:rsidR="00780843">
        <w:t xml:space="preserve"> på tekniska livslängd. </w:t>
      </w:r>
      <w:r w:rsidR="001B670F">
        <w:t xml:space="preserve">Det är inte säkert att det går att </w:t>
      </w:r>
      <w:proofErr w:type="spellStart"/>
      <w:r w:rsidR="001B670F">
        <w:t>relina</w:t>
      </w:r>
      <w:proofErr w:type="spellEnd"/>
      <w:r w:rsidR="001B670F">
        <w:t xml:space="preserve"> flera gånger utan kostnaden kan eventuellt bli högre den dagen åtgärd krävs på VA-ledningar igen. Dessutom räknas inga tappvattenledningar in i kostnaden, då dessa inte är åtgärdade, men troligtvis kräver åtgärd någon gång i framtiden.</w:t>
      </w:r>
    </w:p>
    <w:p w14:paraId="7FDB0F5B" w14:textId="77777777" w:rsidR="00780843" w:rsidRDefault="00780843" w:rsidP="00780843">
      <w:pPr>
        <w:pStyle w:val="Rubrik2"/>
      </w:pPr>
      <w:r>
        <w:t>Dagvattenrör</w:t>
      </w:r>
    </w:p>
    <w:p w14:paraId="3495CC36" w14:textId="77777777" w:rsidR="001B670F" w:rsidRDefault="00780843" w:rsidP="00780843">
      <w:r>
        <w:t>Då tekniska livslängden uppnått för dagvattenrör uppstår inte nödvändigtvis någon större konsekvens. Dagvattenrör byts sällan enskilt heller, eftersom det krävs större markåtgärder också. Därför har en längre tid valts för dagvattenrör än VA-ledningar.</w:t>
      </w:r>
      <w:r w:rsidR="001B670F">
        <w:t xml:space="preserve"> Kostnaden som avsätts skall dock täcka en akut åtgärd, inklusive asfaltering om åtgärd skulle krävas.</w:t>
      </w:r>
    </w:p>
    <w:p w14:paraId="3C0B5315" w14:textId="60FC808B" w:rsidR="001B670F" w:rsidRDefault="001B670F" w:rsidP="00BB7B88">
      <w:pPr>
        <w:pStyle w:val="Rubrik2"/>
      </w:pPr>
      <w:r>
        <w:t>Elkablar och exteriörbelysning</w:t>
      </w:r>
    </w:p>
    <w:p w14:paraId="5E83E7B7" w14:textId="09C2A2B5" w:rsidR="00780843" w:rsidRDefault="001B670F" w:rsidP="00780843">
      <w:r>
        <w:t xml:space="preserve">Elkablarna för belysning och belysningsarmaturer byttes 2021 och faktisk kostnad för investeringen är upptagen </w:t>
      </w:r>
      <w:r w:rsidR="00BB7B88">
        <w:t>i fonderingsplanen. En uppdelning har däremot gjorts för belysningsarmaturer som kan ha en lägre livslängd än elkablar.</w:t>
      </w:r>
    </w:p>
    <w:p w14:paraId="0AE8BED7" w14:textId="3DC0DBAA" w:rsidR="00FE75FA" w:rsidRDefault="00FE75FA" w:rsidP="00FE75FA">
      <w:pPr>
        <w:pStyle w:val="Rubrik2"/>
      </w:pPr>
      <w:r>
        <w:t>Elanslutning</w:t>
      </w:r>
    </w:p>
    <w:p w14:paraId="1FCA9969" w14:textId="57886FF3" w:rsidR="007F1D43" w:rsidRDefault="00FE75FA" w:rsidP="002519BE">
      <w:r>
        <w:t xml:space="preserve">Samfälligheten äger idag kablar som går från mitten av varje huslänga till varje husfasad och mätarskåp. Detta är en annorlunda lösning och inget som skulle byggas idag då elnätsbolaget (Umeå Energi AB) normalt äger kabeln hela vägen till mätarskåpet. Dessa kablar och tillhörande </w:t>
      </w:r>
      <w:proofErr w:type="spellStart"/>
      <w:r>
        <w:t>elcentral</w:t>
      </w:r>
      <w:proofErr w:type="spellEnd"/>
      <w:r>
        <w:t xml:space="preserve"> är från 1969 och behöver förnyas någon gång. Priset för att lägga om dessa kablar </w:t>
      </w:r>
      <w:r w:rsidR="00A024B2">
        <w:t>har hämtats från Umeå Energis hemsida för vad en nyanslutning till elnätet skulle kosta, vilket är en schablonkostnad. Livslängden är däremot satt till 50 år, vilket elnätsbolagen ofta dimensionerar efter också.</w:t>
      </w:r>
    </w:p>
    <w:p w14:paraId="283B95D8" w14:textId="4A18B2ED" w:rsidR="00A024B2" w:rsidRDefault="00A024B2" w:rsidP="00A024B2">
      <w:pPr>
        <w:pStyle w:val="Rubrik2"/>
      </w:pPr>
      <w:r>
        <w:t>Fiberanslutning</w:t>
      </w:r>
    </w:p>
    <w:p w14:paraId="30951A38" w14:textId="7E1CCE3F" w:rsidR="00A024B2" w:rsidRDefault="00A024B2" w:rsidP="002519BE">
      <w:r>
        <w:t xml:space="preserve">Inkommande fiber och aktiv utrustning ägs av </w:t>
      </w:r>
      <w:proofErr w:type="spellStart"/>
      <w:r>
        <w:t>Skanova</w:t>
      </w:r>
      <w:proofErr w:type="spellEnd"/>
      <w:r>
        <w:t xml:space="preserve">. Resterande delar ägs av samfälligheten. En nyanslutning kostar utefter en sökning mellan </w:t>
      </w:r>
      <w:proofErr w:type="gramStart"/>
      <w:r>
        <w:t>15000</w:t>
      </w:r>
      <w:proofErr w:type="gramEnd"/>
      <w:r>
        <w:t xml:space="preserve"> och 45000. För att göra det hyfsat relevant har samma pris som en elanslutning använts för avsättningens storlek. Däremot har fiberanslutning </w:t>
      </w:r>
      <w:r w:rsidR="003844F0">
        <w:t>en betydligt lägre livslängd. Därför har 30 år använts som ekonomisk livslängd.</w:t>
      </w:r>
    </w:p>
    <w:p w14:paraId="322136D5" w14:textId="3F414B3E" w:rsidR="003844F0" w:rsidRDefault="003844F0" w:rsidP="00612408">
      <w:pPr>
        <w:pStyle w:val="Rubrik2"/>
      </w:pPr>
    </w:p>
    <w:p w14:paraId="46F05666" w14:textId="63C31C92" w:rsidR="003844F0" w:rsidRDefault="00612408" w:rsidP="00612408">
      <w:pPr>
        <w:pStyle w:val="Rubrik2"/>
      </w:pPr>
      <w:r>
        <w:t>Asfaltsarbeten</w:t>
      </w:r>
    </w:p>
    <w:p w14:paraId="6550CAAC" w14:textId="71A92F1B" w:rsidR="007F1D43" w:rsidRDefault="00612408" w:rsidP="002519BE">
      <w:r>
        <w:t xml:space="preserve">Asfaltsarbeten är uppdelade i två delar. Dels en avsättning för att gräva ur hela ytan, fylla på med nytt bärlager, eventuellt byta dagvattenledningar och nytt ytskikt. En annan avsättning är för enbart ytskiktet. Tanken med detta är att asfaltsarbeten görs vart 25:e år. </w:t>
      </w:r>
    </w:p>
    <w:p w14:paraId="02810BFC" w14:textId="2BB568B0" w:rsidR="00A73F1D" w:rsidRDefault="00A73F1D" w:rsidP="002519BE"/>
    <w:p w14:paraId="697DECDF" w14:textId="3C7AA8DE" w:rsidR="00A73F1D" w:rsidRDefault="00A73F1D" w:rsidP="00A73F1D">
      <w:pPr>
        <w:pStyle w:val="Rubrik2"/>
      </w:pPr>
      <w:r>
        <w:t>Lekutrustning</w:t>
      </w:r>
    </w:p>
    <w:p w14:paraId="48AD2F2E" w14:textId="77777777" w:rsidR="00A73F1D" w:rsidRPr="00A73F1D" w:rsidRDefault="00A73F1D" w:rsidP="00A73F1D"/>
    <w:p w14:paraId="1C48F7C9" w14:textId="2473304B" w:rsidR="00A73F1D" w:rsidRDefault="007A6DE4" w:rsidP="002519BE">
      <w:r>
        <w:t>Kostnaden för att byta ut lekutrustning har baserat sig på den faktiska kostnaden som var senast lekutrustningen byttes ut. Däremot innehöll denna kostnad även andra markarbeten, som plattrader närmast lekplatserna. Denna är därför uppdelad i två delar med olika ålder. Där markarbeten har en längre livslängd än själva lekutrustningen. Lekutrustningens ekonomiska ålder baserar sig på hur lång garanti som ges på denna från leverantören, vilket är relativt kort. Detta eftersom det är viktigt att dessa hålls i gott skick så att inga barn skadar sig på området.</w:t>
      </w:r>
    </w:p>
    <w:p w14:paraId="7210606B" w14:textId="794FEB65" w:rsidR="007A6DE4" w:rsidRDefault="007A6DE4" w:rsidP="002519BE"/>
    <w:p w14:paraId="0A066BB8" w14:textId="2B45101A" w:rsidR="007A6DE4" w:rsidRDefault="007A6DE4" w:rsidP="007A6DE4">
      <w:pPr>
        <w:pStyle w:val="Rubrik2"/>
      </w:pPr>
      <w:r>
        <w:t>Plåttak</w:t>
      </w:r>
    </w:p>
    <w:p w14:paraId="138782D9" w14:textId="0007E5E6" w:rsidR="007A6DE4" w:rsidRDefault="007A6DE4" w:rsidP="002519BE">
      <w:r>
        <w:t xml:space="preserve">Plåttaken är baserad på den faktiska kostnaden där detta gjordes senast. </w:t>
      </w:r>
    </w:p>
    <w:p w14:paraId="4A0B507E" w14:textId="04C2ED47" w:rsidR="007A6DE4" w:rsidRDefault="007A6DE4" w:rsidP="007A6DE4">
      <w:pPr>
        <w:pStyle w:val="Rubrik2"/>
      </w:pPr>
      <w:r>
        <w:t xml:space="preserve">Panelbyte garage och invändiga </w:t>
      </w:r>
      <w:r w:rsidR="003C1156">
        <w:t>ytskikt</w:t>
      </w:r>
      <w:r>
        <w:t>.</w:t>
      </w:r>
    </w:p>
    <w:p w14:paraId="4C316A66" w14:textId="1E7F307C" w:rsidR="007A6DE4" w:rsidRDefault="007A6DE4" w:rsidP="002519BE">
      <w:r>
        <w:t>Kostnaderna är baserade på en ren uppskattning efter bästa förmåga. Kostnaden beror till stor del hur mycket som avses att lejas bort och vad som avses att göras gemensamt i samfälligheten.</w:t>
      </w:r>
    </w:p>
    <w:p w14:paraId="7074DC2B" w14:textId="05C783A3" w:rsidR="002B3502" w:rsidRDefault="002B3502" w:rsidP="002B3502">
      <w:pPr>
        <w:pStyle w:val="Rubrik2"/>
      </w:pPr>
      <w:r>
        <w:t>Träd</w:t>
      </w:r>
    </w:p>
    <w:p w14:paraId="5211BF2F" w14:textId="3E12458E" w:rsidR="002B3502" w:rsidRPr="002B3502" w:rsidRDefault="002B3502" w:rsidP="002B3502">
      <w:r>
        <w:t xml:space="preserve">I samfälligheten finns ett flertal träd. Främst rönnar ståendes längs vägen, men även </w:t>
      </w:r>
      <w:proofErr w:type="gramStart"/>
      <w:r>
        <w:t>t.ex.</w:t>
      </w:r>
      <w:proofErr w:type="gramEnd"/>
      <w:r>
        <w:t xml:space="preserve"> lönnar och björkar. En viss kostnad måste tas upp som tar hänsyn till kostnader att fälla träd, </w:t>
      </w:r>
      <w:r w:rsidR="003C1156">
        <w:t>stubb frasa</w:t>
      </w:r>
      <w:r>
        <w:t xml:space="preserve">, ny matjord och inköp av träd. En uppskattning om antal träd har gjorts och uppskattning av kostnader för att denna kostnad även behöver vara med. Livslängd på en rönn har räknats med eftersom majoriteten av alla träd består av rönnar. Livslängd för </w:t>
      </w:r>
      <w:proofErr w:type="gramStart"/>
      <w:r>
        <w:t>t.ex.</w:t>
      </w:r>
      <w:proofErr w:type="gramEnd"/>
      <w:r>
        <w:t xml:space="preserve"> björk är betydligt längre.</w:t>
      </w:r>
    </w:p>
    <w:p w14:paraId="1073CC3B" w14:textId="2C9A61B5" w:rsidR="007A6DE4" w:rsidRDefault="007A6DE4" w:rsidP="002B3502">
      <w:pPr>
        <w:pStyle w:val="Rubrik2"/>
      </w:pPr>
      <w:r>
        <w:t>Övriga kostnader</w:t>
      </w:r>
    </w:p>
    <w:p w14:paraId="494D262B" w14:textId="173A4F73" w:rsidR="007A6DE4" w:rsidRDefault="007A6DE4" w:rsidP="002519BE">
      <w:r>
        <w:t xml:space="preserve">Flertalet kostnader är upptagna som </w:t>
      </w:r>
      <w:r w:rsidR="003C1156">
        <w:t>underhållskostnader</w:t>
      </w:r>
      <w:r>
        <w:t xml:space="preserve">. Dessa behöver ej tas med i fonderingarna utan ska </w:t>
      </w:r>
      <w:r w:rsidR="002B3502">
        <w:t xml:space="preserve">räknas in i respektive </w:t>
      </w:r>
      <w:proofErr w:type="gramStart"/>
      <w:r w:rsidR="002B3502">
        <w:t>års budget</w:t>
      </w:r>
      <w:proofErr w:type="gramEnd"/>
      <w:r w:rsidR="002B3502">
        <w:t>.</w:t>
      </w:r>
    </w:p>
    <w:p w14:paraId="1DD0808A" w14:textId="62DFEDF8" w:rsidR="007F1D43" w:rsidRDefault="007F1D43" w:rsidP="002519BE"/>
    <w:p w14:paraId="43B93A01" w14:textId="33F31C52" w:rsidR="007F1D43" w:rsidRDefault="007F1D43" w:rsidP="002519BE"/>
    <w:p w14:paraId="5842E790" w14:textId="19BA581B" w:rsidR="007F1D43" w:rsidRDefault="007F1D43" w:rsidP="002519BE"/>
    <w:p w14:paraId="1CD2C0A7" w14:textId="5C358D06" w:rsidR="007F1D43" w:rsidRDefault="007F1D43" w:rsidP="002519BE"/>
    <w:p w14:paraId="0D700E87" w14:textId="77777777" w:rsidR="007F1D43" w:rsidRPr="002519BE" w:rsidRDefault="007F1D43" w:rsidP="002519BE"/>
    <w:sectPr w:rsidR="007F1D43" w:rsidRPr="002519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61C2B"/>
    <w:multiLevelType w:val="hybridMultilevel"/>
    <w:tmpl w:val="C5BC56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452B5823"/>
    <w:multiLevelType w:val="hybridMultilevel"/>
    <w:tmpl w:val="E3EA066C"/>
    <w:lvl w:ilvl="0" w:tplc="041D000F">
      <w:start w:val="1"/>
      <w:numFmt w:val="decimal"/>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2" w15:restartNumberingAfterBreak="0">
    <w:nsid w:val="4C34355A"/>
    <w:multiLevelType w:val="hybridMultilevel"/>
    <w:tmpl w:val="1C425870"/>
    <w:lvl w:ilvl="0" w:tplc="FBC0AF7E">
      <w:numFmt w:val="bullet"/>
      <w:lvlText w:val=""/>
      <w:lvlJc w:val="left"/>
      <w:pPr>
        <w:ind w:left="405" w:hanging="360"/>
      </w:pPr>
      <w:rPr>
        <w:rFonts w:ascii="Symbol" w:eastAsiaTheme="minorHAnsi" w:hAnsi="Symbol" w:cstheme="minorBidi" w:hint="default"/>
      </w:rPr>
    </w:lvl>
    <w:lvl w:ilvl="1" w:tplc="041D0003" w:tentative="1">
      <w:start w:val="1"/>
      <w:numFmt w:val="bullet"/>
      <w:lvlText w:val="o"/>
      <w:lvlJc w:val="left"/>
      <w:pPr>
        <w:ind w:left="1125" w:hanging="360"/>
      </w:pPr>
      <w:rPr>
        <w:rFonts w:ascii="Courier New" w:hAnsi="Courier New" w:cs="Courier New" w:hint="default"/>
      </w:rPr>
    </w:lvl>
    <w:lvl w:ilvl="2" w:tplc="041D0005" w:tentative="1">
      <w:start w:val="1"/>
      <w:numFmt w:val="bullet"/>
      <w:lvlText w:val=""/>
      <w:lvlJc w:val="left"/>
      <w:pPr>
        <w:ind w:left="1845" w:hanging="360"/>
      </w:pPr>
      <w:rPr>
        <w:rFonts w:ascii="Wingdings" w:hAnsi="Wingdings" w:hint="default"/>
      </w:rPr>
    </w:lvl>
    <w:lvl w:ilvl="3" w:tplc="041D0001" w:tentative="1">
      <w:start w:val="1"/>
      <w:numFmt w:val="bullet"/>
      <w:lvlText w:val=""/>
      <w:lvlJc w:val="left"/>
      <w:pPr>
        <w:ind w:left="2565" w:hanging="360"/>
      </w:pPr>
      <w:rPr>
        <w:rFonts w:ascii="Symbol" w:hAnsi="Symbol" w:hint="default"/>
      </w:rPr>
    </w:lvl>
    <w:lvl w:ilvl="4" w:tplc="041D0003" w:tentative="1">
      <w:start w:val="1"/>
      <w:numFmt w:val="bullet"/>
      <w:lvlText w:val="o"/>
      <w:lvlJc w:val="left"/>
      <w:pPr>
        <w:ind w:left="3285" w:hanging="360"/>
      </w:pPr>
      <w:rPr>
        <w:rFonts w:ascii="Courier New" w:hAnsi="Courier New" w:cs="Courier New" w:hint="default"/>
      </w:rPr>
    </w:lvl>
    <w:lvl w:ilvl="5" w:tplc="041D0005" w:tentative="1">
      <w:start w:val="1"/>
      <w:numFmt w:val="bullet"/>
      <w:lvlText w:val=""/>
      <w:lvlJc w:val="left"/>
      <w:pPr>
        <w:ind w:left="4005" w:hanging="360"/>
      </w:pPr>
      <w:rPr>
        <w:rFonts w:ascii="Wingdings" w:hAnsi="Wingdings" w:hint="default"/>
      </w:rPr>
    </w:lvl>
    <w:lvl w:ilvl="6" w:tplc="041D0001" w:tentative="1">
      <w:start w:val="1"/>
      <w:numFmt w:val="bullet"/>
      <w:lvlText w:val=""/>
      <w:lvlJc w:val="left"/>
      <w:pPr>
        <w:ind w:left="4725" w:hanging="360"/>
      </w:pPr>
      <w:rPr>
        <w:rFonts w:ascii="Symbol" w:hAnsi="Symbol" w:hint="default"/>
      </w:rPr>
    </w:lvl>
    <w:lvl w:ilvl="7" w:tplc="041D0003" w:tentative="1">
      <w:start w:val="1"/>
      <w:numFmt w:val="bullet"/>
      <w:lvlText w:val="o"/>
      <w:lvlJc w:val="left"/>
      <w:pPr>
        <w:ind w:left="5445" w:hanging="360"/>
      </w:pPr>
      <w:rPr>
        <w:rFonts w:ascii="Courier New" w:hAnsi="Courier New" w:cs="Courier New" w:hint="default"/>
      </w:rPr>
    </w:lvl>
    <w:lvl w:ilvl="8" w:tplc="041D0005" w:tentative="1">
      <w:start w:val="1"/>
      <w:numFmt w:val="bullet"/>
      <w:lvlText w:val=""/>
      <w:lvlJc w:val="left"/>
      <w:pPr>
        <w:ind w:left="6165" w:hanging="360"/>
      </w:pPr>
      <w:rPr>
        <w:rFonts w:ascii="Wingdings" w:hAnsi="Wingdings" w:hint="default"/>
      </w:rPr>
    </w:lvl>
  </w:abstractNum>
  <w:abstractNum w:abstractNumId="3" w15:restartNumberingAfterBreak="0">
    <w:nsid w:val="696523A8"/>
    <w:multiLevelType w:val="hybridMultilevel"/>
    <w:tmpl w:val="1808560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183400304">
    <w:abstractNumId w:val="3"/>
  </w:num>
  <w:num w:numId="2" w16cid:durableId="551311766">
    <w:abstractNumId w:val="1"/>
  </w:num>
  <w:num w:numId="3" w16cid:durableId="1206141499">
    <w:abstractNumId w:val="0"/>
  </w:num>
  <w:num w:numId="4" w16cid:durableId="729302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BE"/>
    <w:rsid w:val="001B1C42"/>
    <w:rsid w:val="001B670F"/>
    <w:rsid w:val="002519BE"/>
    <w:rsid w:val="002B3502"/>
    <w:rsid w:val="002C1CF5"/>
    <w:rsid w:val="003166DB"/>
    <w:rsid w:val="003445FA"/>
    <w:rsid w:val="003844F0"/>
    <w:rsid w:val="003C1156"/>
    <w:rsid w:val="00486648"/>
    <w:rsid w:val="00597BE1"/>
    <w:rsid w:val="00612408"/>
    <w:rsid w:val="006B32AF"/>
    <w:rsid w:val="006F7510"/>
    <w:rsid w:val="00780843"/>
    <w:rsid w:val="007A6DE4"/>
    <w:rsid w:val="007D794B"/>
    <w:rsid w:val="007E13CC"/>
    <w:rsid w:val="007F1D43"/>
    <w:rsid w:val="0091708E"/>
    <w:rsid w:val="00A024B2"/>
    <w:rsid w:val="00A404A5"/>
    <w:rsid w:val="00A73F1D"/>
    <w:rsid w:val="00AE493D"/>
    <w:rsid w:val="00BB7B88"/>
    <w:rsid w:val="00C03B07"/>
    <w:rsid w:val="00C13F21"/>
    <w:rsid w:val="00C65656"/>
    <w:rsid w:val="00D878BF"/>
    <w:rsid w:val="00D916A3"/>
    <w:rsid w:val="00E3416F"/>
    <w:rsid w:val="00F748A3"/>
    <w:rsid w:val="00FA3A27"/>
    <w:rsid w:val="00FE75F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3DA0"/>
  <w15:chartTrackingRefBased/>
  <w15:docId w15:val="{A07E2191-EB5E-4043-98A9-475874521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2519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next w:val="Normal"/>
    <w:link w:val="Rubrik2Char"/>
    <w:uiPriority w:val="9"/>
    <w:unhideWhenUsed/>
    <w:qFormat/>
    <w:rsid w:val="00780843"/>
    <w:pPr>
      <w:keepNext/>
      <w:keepLines/>
      <w:spacing w:before="40" w:after="0"/>
      <w:outlineLvl w:val="1"/>
    </w:pPr>
    <w:rPr>
      <w:rFonts w:asciiTheme="majorHAnsi" w:eastAsiaTheme="majorEastAsia" w:hAnsiTheme="majorHAnsi" w:cstheme="majorBidi"/>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519BE"/>
    <w:rPr>
      <w:rFonts w:ascii="Times New Roman" w:eastAsia="Times New Roman" w:hAnsi="Times New Roman" w:cs="Times New Roman"/>
      <w:b/>
      <w:bCs/>
      <w:kern w:val="36"/>
      <w:sz w:val="48"/>
      <w:szCs w:val="48"/>
      <w:lang w:eastAsia="sv-SE"/>
    </w:rPr>
  </w:style>
  <w:style w:type="paragraph" w:styleId="Normalwebb">
    <w:name w:val="Normal (Web)"/>
    <w:basedOn w:val="Normal"/>
    <w:uiPriority w:val="99"/>
    <w:semiHidden/>
    <w:unhideWhenUsed/>
    <w:rsid w:val="002519BE"/>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Rubrik2Char">
    <w:name w:val="Rubrik 2 Char"/>
    <w:basedOn w:val="Standardstycketeckensnitt"/>
    <w:link w:val="Rubrik2"/>
    <w:uiPriority w:val="9"/>
    <w:rsid w:val="00780843"/>
    <w:rPr>
      <w:rFonts w:asciiTheme="majorHAnsi" w:eastAsiaTheme="majorEastAsia" w:hAnsiTheme="majorHAnsi" w:cstheme="maj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621589">
      <w:bodyDiv w:val="1"/>
      <w:marLeft w:val="0"/>
      <w:marRight w:val="0"/>
      <w:marTop w:val="0"/>
      <w:marBottom w:val="0"/>
      <w:divBdr>
        <w:top w:val="none" w:sz="0" w:space="0" w:color="auto"/>
        <w:left w:val="none" w:sz="0" w:space="0" w:color="auto"/>
        <w:bottom w:val="none" w:sz="0" w:space="0" w:color="auto"/>
        <w:right w:val="none" w:sz="0" w:space="0" w:color="auto"/>
      </w:divBdr>
    </w:div>
    <w:div w:id="1707683094">
      <w:bodyDiv w:val="1"/>
      <w:marLeft w:val="0"/>
      <w:marRight w:val="0"/>
      <w:marTop w:val="0"/>
      <w:marBottom w:val="0"/>
      <w:divBdr>
        <w:top w:val="none" w:sz="0" w:space="0" w:color="auto"/>
        <w:left w:val="none" w:sz="0" w:space="0" w:color="auto"/>
        <w:bottom w:val="none" w:sz="0" w:space="0" w:color="auto"/>
        <w:right w:val="none" w:sz="0" w:space="0" w:color="auto"/>
      </w:divBdr>
    </w:div>
    <w:div w:id="180912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7</Pages>
  <Words>1526</Words>
  <Characters>8094</Characters>
  <Application>Microsoft Office Word</Application>
  <DocSecurity>0</DocSecurity>
  <Lines>67</Lines>
  <Paragraphs>19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Leonardsson</dc:creator>
  <cp:keywords/>
  <dc:description/>
  <cp:lastModifiedBy>Lotta Sundström</cp:lastModifiedBy>
  <cp:revision>18</cp:revision>
  <dcterms:created xsi:type="dcterms:W3CDTF">2022-02-21T21:12:00Z</dcterms:created>
  <dcterms:modified xsi:type="dcterms:W3CDTF">2022-08-23T19:41:00Z</dcterms:modified>
</cp:coreProperties>
</file>